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9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strCache>
                <c:ptCount val="1"/>
                <c:pt idx="0">
                  <c:v>Volume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cat>
            <c:numRef>
              <c:numCache>
                <c:formatCode>mm/yy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numCache>
                <c:formatCode>General</c:formatCode>
                <c:ptCount val="5"/>
                <c:pt idx="0">
                  <c:v>70</c:v>
                </c:pt>
                <c:pt idx="1">
                  <c:v>120</c:v>
                </c:pt>
                <c:pt idx="2">
                  <c:v>150</c:v>
                </c:pt>
                <c:pt idx="3">
                  <c:v>135</c:v>
                </c:pt>
                <c:pt idx="4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309248"/>
        <c:axId val="142310784"/>
      </c:barChart>
      <c:stockChart>
        <c:ser>
          <c:idx val="1"/>
          <c:order val="1"/>
          <c:tx>
            <c:strRef>
              <c:strCache>
                <c:ptCount val="1"/>
                <c:pt idx="0">
                  <c:v>Open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numRef>
              <c:numCache>
                <c:formatCode>mm/yy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numCache>
                <c:formatCode>General</c:formatCode>
                <c:ptCount val="5"/>
                <c:pt idx="0">
                  <c:v>44</c:v>
                </c:pt>
                <c:pt idx="1">
                  <c:v>25</c:v>
                </c:pt>
                <c:pt idx="2">
                  <c:v>38</c:v>
                </c:pt>
                <c:pt idx="3">
                  <c:v>50</c:v>
                </c:pt>
                <c:pt idx="4">
                  <c:v>34</c:v>
                </c:pt>
              </c:numCache>
            </c:numRef>
          </c:val>
          <c:smooth val="0"/>
        </c:ser>
        <c:ser>
          <c:idx val="2"/>
          <c:order val="2"/>
          <c:tx>
            <c:strRef>
              <c:strCache>
                <c:ptCount val="1"/>
                <c:pt idx="0">
                  <c:v>High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numRef>
              <c:numCache>
                <c:formatCode>mm/yy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57</c:v>
                </c:pt>
                <c:pt idx="3">
                  <c:v>58</c:v>
                </c:pt>
                <c:pt idx="4">
                  <c:v>58</c:v>
                </c:pt>
              </c:numCache>
            </c:numRef>
          </c:val>
          <c:smooth val="0"/>
        </c:ser>
        <c:ser>
          <c:idx val="3"/>
          <c:order val="3"/>
          <c:tx>
            <c:strRe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numRef>
              <c:numCache>
                <c:formatCode>mm/yy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strCache>
                <c:ptCount val="1"/>
                <c:pt idx="0">
                  <c:v>Close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numRef>
              <c:numCache>
                <c:formatCode>mm/yy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50</c:v>
                </c:pt>
                <c:pt idx="3">
                  <c:v>35</c:v>
                </c:pt>
                <c:pt idx="4">
                  <c:v>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upDownBars>
          <c:gapWidth val="150"/>
          <c:upBars>
            <c:spPr>
              <a:solidFill>
                <a:schemeClr val="lt1"/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downBars>
        </c:upDownBars>
        <c:axId val="142310783"/>
        <c:axId val="142310785"/>
      </c:stockChart>
      <c:date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numFmt formatCode="mm/yy" sourceLinked="1"/>
        <c:majorTickMark val="out"/>
        <c:minorTickMark val="none"/>
        <c:baseTimeUnit val="days"/>
        <c:majorUnit val="1"/>
        <c:majorTimeUnit val="months"/>
      </c:date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  <c:valAx>
        <c:delete val="0"/>
        <c:axId val="142310785"/>
        <c:scaling>
          <c:orientation val="minMax"/>
        </c:scaling>
        <c:axPos val="r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10783"/>
        <c:crosses val="max"/>
        <c:crossBetween val="between"/>
      </c:valAx>
      <c:dateAx>
        <c:axId val="142310783"/>
        <c:delete val="1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5"/>
        <c:crosses val="autoZero"/>
        <c:auto val="1"/>
        <c:lblOffset val="100"/>
        <c:numFmt formatCode="mm/yy" sourceLinked="1"/>
        <c:majorTickMark val="out"/>
        <c:minorTickMark val="none"/>
        <c:baseTimeUnit val="days"/>
        <c:majorUnit val="1"/>
        <c:majorTimeUnit val="months"/>
      </c:date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