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95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Order Totals</c:v>
                </c:pt>
              </c:strCache>
            </c:strRef>
          </c:tx>
          <c:marker>
            <c:symbol val="none"/>
            <c:spPr>
              <a:solidFill>
                <a:srgbClr val="3258ff"/>
              </a:solidFill>
              <a:ln>
                <a:noFill/>
              </a:ln>
            </c:spPr>
          </c:marker>
          <c:cat>
            <c:strRef>
              <c:f>AOPChartSheet_chart1!$A$2:$A$11</c:f>
              <c:strCache>
                <c:ptCount val="10"/>
                <c:pt idx="0">
                  <c:v>Order 1</c:v>
                </c:pt>
                <c:pt idx="1">
                  <c:v>Order 2</c:v>
                </c:pt>
                <c:pt idx="2">
                  <c:v>Order 3</c:v>
                </c:pt>
                <c:pt idx="3">
                  <c:v>Order 4</c:v>
                </c:pt>
                <c:pt idx="4">
                  <c:v>Order 5</c:v>
                </c:pt>
                <c:pt idx="5">
                  <c:v>Order 6</c:v>
                </c:pt>
                <c:pt idx="6">
                  <c:v>Order 7</c:v>
                </c:pt>
                <c:pt idx="7">
                  <c:v>Order 8</c:v>
                </c:pt>
                <c:pt idx="8">
                  <c:v>Order 9</c:v>
                </c:pt>
                <c:pt idx="9">
                  <c:v>Order 10</c:v>
                </c:pt>
              </c:strCache>
            </c:strRef>
          </c:cat>
          <c:val>
            <c:numRef>
              <c:f>AOPChartSheet_chart1!$B$2:$B$11</c:f>
              <c:numCache>
                <c:formatCode>General</c:formatCode>
                <c:ptCount val="10"/>
                <c:pt idx="0">
                  <c:v>1890</c:v>
                </c:pt>
                <c:pt idx="1">
                  <c:v>2380</c:v>
                </c:pt>
                <c:pt idx="2">
                  <c:v>1640</c:v>
                </c:pt>
                <c:pt idx="3">
                  <c:v>1090</c:v>
                </c:pt>
                <c:pt idx="4">
                  <c:v>950</c:v>
                </c:pt>
                <c:pt idx="5">
                  <c:v>1515</c:v>
                </c:pt>
                <c:pt idx="6">
                  <c:v>905</c:v>
                </c:pt>
                <c:pt idx="7">
                  <c:v>1060</c:v>
                </c:pt>
                <c:pt idx="8">
                  <c:v>730</c:v>
                </c:pt>
                <c:pt idx="9">
                  <c:v>870</c:v>
                </c:pt>
              </c:numCache>
            </c:numRef>
          </c:val>
          <c:smooth val="0"/>
        </c:ser>
        <c:marker val="1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rad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